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76ABE2" w14:textId="77777777" w:rsidR="003A2799" w:rsidRPr="00AB4308" w:rsidRDefault="003A2799" w:rsidP="00AB4308">
      <w:pPr>
        <w:spacing w:line="480" w:lineRule="auto"/>
        <w:rPr>
          <w:rFonts w:ascii="Times New Roman" w:hAnsi="Times New Roman" w:cs="Times New Roman"/>
          <w:sz w:val="24"/>
          <w:szCs w:val="24"/>
          <w:shd w:val="clear" w:color="auto" w:fill="FFFFFF"/>
        </w:rPr>
      </w:pPr>
    </w:p>
    <w:p w14:paraId="15ACD658" w14:textId="77777777" w:rsidR="003A2799" w:rsidRPr="00AB4308" w:rsidRDefault="003A2799" w:rsidP="00AB4308">
      <w:pPr>
        <w:spacing w:line="480" w:lineRule="auto"/>
        <w:rPr>
          <w:rFonts w:ascii="Times New Roman" w:hAnsi="Times New Roman" w:cs="Times New Roman"/>
          <w:sz w:val="24"/>
          <w:szCs w:val="24"/>
          <w:shd w:val="clear" w:color="auto" w:fill="FFFFFF"/>
        </w:rPr>
      </w:pPr>
    </w:p>
    <w:p w14:paraId="22A7AE42" w14:textId="77777777" w:rsidR="003A2799" w:rsidRPr="00AB4308" w:rsidRDefault="003A2799" w:rsidP="00AB4308">
      <w:pPr>
        <w:spacing w:line="480" w:lineRule="auto"/>
        <w:rPr>
          <w:rFonts w:ascii="Times New Roman" w:hAnsi="Times New Roman" w:cs="Times New Roman"/>
          <w:sz w:val="24"/>
          <w:szCs w:val="24"/>
          <w:shd w:val="clear" w:color="auto" w:fill="FFFFFF"/>
        </w:rPr>
      </w:pPr>
    </w:p>
    <w:p w14:paraId="15D4EDF9" w14:textId="77777777" w:rsidR="001F3AA3" w:rsidRPr="00AB4308" w:rsidRDefault="001F3AA3" w:rsidP="00AB4308">
      <w:pPr>
        <w:spacing w:line="480" w:lineRule="auto"/>
        <w:rPr>
          <w:rFonts w:ascii="Times New Roman" w:hAnsi="Times New Roman" w:cs="Times New Roman"/>
          <w:sz w:val="24"/>
          <w:szCs w:val="24"/>
          <w:shd w:val="clear" w:color="auto" w:fill="FFFFFF"/>
        </w:rPr>
      </w:pPr>
    </w:p>
    <w:p w14:paraId="24BA34B0" w14:textId="213BBE12" w:rsidR="003A2799" w:rsidRPr="00AB4308" w:rsidRDefault="003A2799" w:rsidP="00AB4308">
      <w:pPr>
        <w:spacing w:line="480" w:lineRule="auto"/>
        <w:jc w:val="center"/>
        <w:rPr>
          <w:rFonts w:ascii="Times New Roman" w:hAnsi="Times New Roman" w:cs="Times New Roman"/>
          <w:sz w:val="24"/>
          <w:szCs w:val="24"/>
          <w:shd w:val="clear" w:color="auto" w:fill="FFFFFF"/>
        </w:rPr>
      </w:pPr>
      <w:r w:rsidRPr="00AB4308">
        <w:rPr>
          <w:rFonts w:ascii="Times New Roman" w:hAnsi="Times New Roman" w:cs="Times New Roman"/>
          <w:sz w:val="24"/>
          <w:szCs w:val="24"/>
          <w:shd w:val="clear" w:color="auto" w:fill="FFFFFF"/>
        </w:rPr>
        <w:t>Art Review</w:t>
      </w:r>
    </w:p>
    <w:p w14:paraId="16840581" w14:textId="77777777" w:rsidR="003A2799" w:rsidRPr="00AB4308" w:rsidRDefault="003A2799" w:rsidP="00AB4308">
      <w:pPr>
        <w:spacing w:line="480" w:lineRule="auto"/>
        <w:jc w:val="center"/>
        <w:rPr>
          <w:rFonts w:ascii="Times New Roman" w:hAnsi="Times New Roman" w:cs="Times New Roman"/>
          <w:sz w:val="24"/>
          <w:szCs w:val="24"/>
          <w:shd w:val="clear" w:color="auto" w:fill="FFFFFF"/>
        </w:rPr>
      </w:pPr>
      <w:r w:rsidRPr="00AB4308">
        <w:rPr>
          <w:rFonts w:ascii="Times New Roman" w:hAnsi="Times New Roman" w:cs="Times New Roman"/>
          <w:sz w:val="24"/>
          <w:szCs w:val="24"/>
          <w:shd w:val="clear" w:color="auto" w:fill="FFFFFF"/>
        </w:rPr>
        <w:t>Name (Author)</w:t>
      </w:r>
    </w:p>
    <w:p w14:paraId="61D3D6DD" w14:textId="77777777" w:rsidR="003A2799" w:rsidRPr="00AB4308" w:rsidRDefault="003A2799" w:rsidP="00AB4308">
      <w:pPr>
        <w:spacing w:line="480" w:lineRule="auto"/>
        <w:jc w:val="center"/>
        <w:rPr>
          <w:rFonts w:ascii="Times New Roman" w:hAnsi="Times New Roman" w:cs="Times New Roman"/>
          <w:sz w:val="24"/>
          <w:szCs w:val="24"/>
          <w:shd w:val="clear" w:color="auto" w:fill="FFFFFF"/>
        </w:rPr>
      </w:pPr>
      <w:r w:rsidRPr="00AB4308">
        <w:rPr>
          <w:rFonts w:ascii="Times New Roman" w:hAnsi="Times New Roman" w:cs="Times New Roman"/>
          <w:sz w:val="24"/>
          <w:szCs w:val="24"/>
          <w:shd w:val="clear" w:color="auto" w:fill="FFFFFF"/>
        </w:rPr>
        <w:t>Institution (Affiliate)</w:t>
      </w:r>
    </w:p>
    <w:p w14:paraId="16E6D48C" w14:textId="77777777" w:rsidR="003A2799" w:rsidRPr="00AB4308" w:rsidRDefault="003A2799" w:rsidP="00AB4308">
      <w:pPr>
        <w:spacing w:line="480" w:lineRule="auto"/>
        <w:rPr>
          <w:rFonts w:ascii="Times New Roman" w:hAnsi="Times New Roman" w:cs="Times New Roman"/>
          <w:sz w:val="24"/>
          <w:szCs w:val="24"/>
          <w:shd w:val="clear" w:color="auto" w:fill="FFFFFF"/>
        </w:rPr>
      </w:pPr>
    </w:p>
    <w:p w14:paraId="3074C6CB" w14:textId="77777777" w:rsidR="003A2799" w:rsidRPr="00AB4308" w:rsidRDefault="003A2799" w:rsidP="00AB4308">
      <w:pPr>
        <w:spacing w:line="480" w:lineRule="auto"/>
        <w:rPr>
          <w:rFonts w:ascii="Times New Roman" w:hAnsi="Times New Roman" w:cs="Times New Roman"/>
          <w:sz w:val="24"/>
          <w:szCs w:val="24"/>
          <w:shd w:val="clear" w:color="auto" w:fill="FFFFFF"/>
        </w:rPr>
      </w:pPr>
    </w:p>
    <w:p w14:paraId="0AFB1B9D" w14:textId="77777777" w:rsidR="001F3AA3" w:rsidRPr="00AB4308" w:rsidRDefault="001F3AA3" w:rsidP="00AB4308">
      <w:pPr>
        <w:spacing w:line="480" w:lineRule="auto"/>
        <w:ind w:firstLine="720"/>
        <w:rPr>
          <w:rFonts w:ascii="Times New Roman" w:hAnsi="Times New Roman" w:cs="Times New Roman"/>
          <w:sz w:val="24"/>
          <w:szCs w:val="24"/>
          <w:shd w:val="clear" w:color="auto" w:fill="FFFFFF"/>
        </w:rPr>
      </w:pPr>
    </w:p>
    <w:p w14:paraId="5E5EFC8C" w14:textId="77777777" w:rsidR="001F3AA3" w:rsidRPr="00AB4308" w:rsidRDefault="001F3AA3" w:rsidP="00AB4308">
      <w:pPr>
        <w:spacing w:line="480" w:lineRule="auto"/>
        <w:ind w:firstLine="720"/>
        <w:rPr>
          <w:rFonts w:ascii="Times New Roman" w:hAnsi="Times New Roman" w:cs="Times New Roman"/>
          <w:sz w:val="24"/>
          <w:szCs w:val="24"/>
          <w:shd w:val="clear" w:color="auto" w:fill="FFFFFF"/>
        </w:rPr>
      </w:pPr>
    </w:p>
    <w:p w14:paraId="7D0B6EA2" w14:textId="77777777" w:rsidR="001F3AA3" w:rsidRPr="00AB4308" w:rsidRDefault="001F3AA3" w:rsidP="00AB4308">
      <w:pPr>
        <w:spacing w:line="480" w:lineRule="auto"/>
        <w:ind w:firstLine="720"/>
        <w:rPr>
          <w:rFonts w:ascii="Times New Roman" w:hAnsi="Times New Roman" w:cs="Times New Roman"/>
          <w:sz w:val="24"/>
          <w:szCs w:val="24"/>
          <w:shd w:val="clear" w:color="auto" w:fill="FFFFFF"/>
        </w:rPr>
      </w:pPr>
    </w:p>
    <w:p w14:paraId="3AA02CA5" w14:textId="77777777" w:rsidR="001F3AA3" w:rsidRPr="00AB4308" w:rsidRDefault="001F3AA3" w:rsidP="00AB4308">
      <w:pPr>
        <w:spacing w:line="480" w:lineRule="auto"/>
        <w:ind w:firstLine="720"/>
        <w:rPr>
          <w:rFonts w:ascii="Times New Roman" w:hAnsi="Times New Roman" w:cs="Times New Roman"/>
          <w:sz w:val="24"/>
          <w:szCs w:val="24"/>
          <w:shd w:val="clear" w:color="auto" w:fill="FFFFFF"/>
        </w:rPr>
      </w:pPr>
    </w:p>
    <w:p w14:paraId="2DDD9015" w14:textId="77777777" w:rsidR="001F3AA3" w:rsidRPr="00AB4308" w:rsidRDefault="001F3AA3" w:rsidP="00AB4308">
      <w:pPr>
        <w:spacing w:line="480" w:lineRule="auto"/>
        <w:ind w:firstLine="720"/>
        <w:rPr>
          <w:rFonts w:ascii="Times New Roman" w:hAnsi="Times New Roman" w:cs="Times New Roman"/>
          <w:sz w:val="24"/>
          <w:szCs w:val="24"/>
          <w:shd w:val="clear" w:color="auto" w:fill="FFFFFF"/>
        </w:rPr>
      </w:pPr>
    </w:p>
    <w:p w14:paraId="27ED3CD0" w14:textId="77777777" w:rsidR="001F3AA3" w:rsidRPr="00AB4308" w:rsidRDefault="001F3AA3" w:rsidP="00AB4308">
      <w:pPr>
        <w:spacing w:line="480" w:lineRule="auto"/>
        <w:ind w:firstLine="720"/>
        <w:rPr>
          <w:rFonts w:ascii="Times New Roman" w:hAnsi="Times New Roman" w:cs="Times New Roman"/>
          <w:sz w:val="24"/>
          <w:szCs w:val="24"/>
          <w:shd w:val="clear" w:color="auto" w:fill="FFFFFF"/>
        </w:rPr>
      </w:pPr>
    </w:p>
    <w:p w14:paraId="5342C078" w14:textId="77777777" w:rsidR="001F3AA3" w:rsidRPr="00AB4308" w:rsidRDefault="001F3AA3" w:rsidP="00AB4308">
      <w:pPr>
        <w:spacing w:line="480" w:lineRule="auto"/>
        <w:ind w:firstLine="720"/>
        <w:rPr>
          <w:rFonts w:ascii="Times New Roman" w:hAnsi="Times New Roman" w:cs="Times New Roman"/>
          <w:sz w:val="24"/>
          <w:szCs w:val="24"/>
          <w:shd w:val="clear" w:color="auto" w:fill="FFFFFF"/>
        </w:rPr>
      </w:pPr>
    </w:p>
    <w:p w14:paraId="42DE8B51" w14:textId="77777777" w:rsidR="001F3AA3" w:rsidRPr="00AB4308" w:rsidRDefault="001F3AA3" w:rsidP="00AB4308">
      <w:pPr>
        <w:spacing w:line="480" w:lineRule="auto"/>
        <w:ind w:firstLine="720"/>
        <w:rPr>
          <w:rFonts w:ascii="Times New Roman" w:hAnsi="Times New Roman" w:cs="Times New Roman"/>
          <w:sz w:val="24"/>
          <w:szCs w:val="24"/>
          <w:shd w:val="clear" w:color="auto" w:fill="FFFFFF"/>
        </w:rPr>
      </w:pPr>
    </w:p>
    <w:p w14:paraId="6E938674" w14:textId="29CE715E" w:rsidR="00AB4308" w:rsidRPr="00AB4308" w:rsidRDefault="007F4071" w:rsidP="00AB4308">
      <w:pPr>
        <w:pStyle w:val="NormalWeb"/>
        <w:spacing w:before="0" w:beforeAutospacing="0" w:after="0" w:afterAutospacing="0" w:line="480" w:lineRule="auto"/>
        <w:ind w:firstLine="720"/>
      </w:pPr>
      <w:r w:rsidRPr="00AB4308">
        <w:lastRenderedPageBreak/>
        <w:t>Based on the Vida Americana Exhibit review, the chosen artwork is the Barbara Haskell, curator. Located in New York and acting like Abby Aldrich Rockefeller gift, the Barbara Haskell, curator is an artist work with a size of 78 1/2 × 64 (199.3 × 162.5 cm) founded in 1936. The Romantic Nationalism and the Mexican Revolution: </w:t>
      </w:r>
      <w:hyperlink r:id="rId6" w:anchor="exhibition-artworks" w:tgtFrame="_blank" w:history="1">
        <w:r w:rsidRPr="00AB4308">
          <w:rPr>
            <w:rStyle w:val="Hyperlink"/>
            <w:color w:val="auto"/>
          </w:rPr>
          <w:t>https://whitney.org/exhibitions/vida-americana?section=1&amp;subsection=1#exhibition-artworks</w:t>
        </w:r>
      </w:hyperlink>
      <w:r w:rsidRPr="00AB4308">
        <w:t>. The artwork was established after the Mexican devastation due to the civil war that took ten years where more than ten Mexicans died as the majority moved to the United States of America. The art design is dominated by white, green, and red colors. There are three females in front of the art putting on traditional clothes with the three colors highlighted. </w:t>
      </w:r>
      <w:r w:rsidR="001F2C87">
        <w:t xml:space="preserve">The main brush strokes used in designing the artwork </w:t>
      </w:r>
      <w:r w:rsidR="0071130D">
        <w:t>are mainly</w:t>
      </w:r>
      <w:r w:rsidR="001F2C87">
        <w:t xml:space="preserve"> </w:t>
      </w:r>
      <w:r w:rsidR="0071130D">
        <w:t xml:space="preserve">the </w:t>
      </w:r>
      <w:r w:rsidR="001F2C87">
        <w:rPr>
          <w:shd w:val="clear" w:color="auto" w:fill="FFFFFF"/>
        </w:rPr>
        <w:t>gestural painting</w:t>
      </w:r>
      <w:r w:rsidR="001F2C87">
        <w:t xml:space="preserve"> style</w:t>
      </w:r>
      <w:r w:rsidR="001F2C87">
        <w:t>.</w:t>
      </w:r>
      <w:r w:rsidR="001F2C87">
        <w:rPr>
          <w:shd w:val="clear" w:color="auto" w:fill="FFFFFF"/>
        </w:rPr>
        <w:t xml:space="preserve"> Additionally, </w:t>
      </w:r>
      <w:r w:rsidR="00AB4308" w:rsidRPr="00AB4308">
        <w:t xml:space="preserve">the </w:t>
      </w:r>
      <w:r w:rsidR="00AB4308" w:rsidRPr="00AB4308">
        <w:rPr>
          <w:bCs/>
          <w:shd w:val="clear" w:color="auto" w:fill="FFFFFF"/>
        </w:rPr>
        <w:t>brush strokes used include</w:t>
      </w:r>
      <w:r w:rsidR="00AB4308" w:rsidRPr="00AB4308">
        <w:t xml:space="preserve"> </w:t>
      </w:r>
      <w:r w:rsidR="00AB4308" w:rsidRPr="00AB4308">
        <w:rPr>
          <w:shd w:val="clear" w:color="auto" w:fill="FFFFFF"/>
        </w:rPr>
        <w:t>freehand </w:t>
      </w:r>
      <w:r w:rsidR="00AB4308" w:rsidRPr="00AB4308">
        <w:rPr>
          <w:bCs/>
          <w:shd w:val="clear" w:color="auto" w:fill="FFFFFF"/>
        </w:rPr>
        <w:t xml:space="preserve">brush strokes and </w:t>
      </w:r>
      <w:r w:rsidR="00AB4308" w:rsidRPr="00AB4308">
        <w:rPr>
          <w:shd w:val="clear" w:color="auto" w:fill="FFFFFF"/>
        </w:rPr>
        <w:t>Brushstroke with transparency.</w:t>
      </w:r>
    </w:p>
    <w:p w14:paraId="2C99FCCA" w14:textId="77777777" w:rsidR="007F4071" w:rsidRPr="00AB4308" w:rsidRDefault="007F4071" w:rsidP="00AB4308">
      <w:pPr>
        <w:pStyle w:val="NormalWeb"/>
        <w:spacing w:before="0" w:beforeAutospacing="0" w:after="0" w:afterAutospacing="0" w:line="480" w:lineRule="auto"/>
        <w:ind w:firstLine="720"/>
      </w:pPr>
      <w:r w:rsidRPr="00AB4308">
        <w:t>The art portrays the social and political matters in a manner that displays the country's pre-Hispanic traditions, the investments made during the age-old technique of fresco painting based on a new vitality. The existing relationship between the art and public associated stories appropriate for the ordinary male and females are presented in the art design (Adams, 2019). The artwork has portrayed both the American and Mexican cultures. </w:t>
      </w:r>
    </w:p>
    <w:p w14:paraId="2A83938C" w14:textId="77777777" w:rsidR="00AB4308" w:rsidRPr="00AB4308" w:rsidRDefault="007F4071" w:rsidP="00AB4308">
      <w:pPr>
        <w:pStyle w:val="NormalWeb"/>
        <w:spacing w:before="0" w:beforeAutospacing="0" w:after="0" w:afterAutospacing="0" w:line="480" w:lineRule="auto"/>
        <w:ind w:firstLine="720"/>
      </w:pPr>
      <w:r w:rsidRPr="00AB4308">
        <w:t xml:space="preserve">José Clemente Orozco's work impacted several American artists, including Jacob Lawrence, Charles White, and Jackson Pollock. Being the first and the leading Mexican muralists to travel to the United States, the painting that occurred to the </w:t>
      </w:r>
      <w:proofErr w:type="spellStart"/>
      <w:r w:rsidRPr="00AB4308">
        <w:t>Frary</w:t>
      </w:r>
      <w:proofErr w:type="spellEnd"/>
      <w:r w:rsidRPr="00AB4308">
        <w:t xml:space="preserve"> Dining Hall at Pomona College in California is part of the art work (Adams, 2019). Several visual works across the United States have been significantly promoted by the artwork considering the influence it gathered in the United States of America. The cycle of war and struggle in the Mexican republic have been covered in the artwork</w:t>
      </w:r>
      <w:r w:rsidR="00AB4308" w:rsidRPr="00AB4308">
        <w:t xml:space="preserve"> </w:t>
      </w:r>
    </w:p>
    <w:p w14:paraId="14C02440" w14:textId="77777777" w:rsidR="007F4071" w:rsidRPr="00AB4308" w:rsidRDefault="007F4071" w:rsidP="00AB4308">
      <w:pPr>
        <w:pStyle w:val="NormalWeb"/>
        <w:spacing w:before="0" w:beforeAutospacing="0" w:after="0" w:afterAutospacing="0" w:line="480" w:lineRule="auto"/>
        <w:ind w:firstLine="720"/>
      </w:pPr>
      <w:r w:rsidRPr="00AB4308">
        <w:lastRenderedPageBreak/>
        <w:t>The art work influence has proven decisive for the majority of the artists in the United States seeking European modernism alternatives. The artwork promotes the relationship between the public members who are deeply shaken by the great depression and the artists in the United States. Compared to the modernists' French master, the Mexican artist for Barbara Haskell, the curator is considered creative and influential in the American painting industry. Painting has been brought back to its essential role in society based on the view and painting style used in the artwork. </w:t>
      </w:r>
    </w:p>
    <w:p w14:paraId="2A3B5C2E" w14:textId="77777777" w:rsidR="007F4071" w:rsidRPr="00AB4308" w:rsidRDefault="007F4071" w:rsidP="00AB4308">
      <w:pPr>
        <w:pStyle w:val="NormalWeb"/>
        <w:spacing w:before="0" w:beforeAutospacing="0" w:after="0" w:afterAutospacing="0" w:line="480" w:lineRule="auto"/>
        <w:ind w:firstLine="720"/>
      </w:pPr>
      <w:r w:rsidRPr="00AB4308">
        <w:t xml:space="preserve">The artwork has been made up of several ethnic groups that lack common cultural beliefs to show the need to make many languages official (Haskell &amp; Castro, 2020). The new governance in the </w:t>
      </w:r>
      <w:r w:rsidR="00245F45" w:rsidRPr="00AB4308">
        <w:t>United States</w:t>
      </w:r>
      <w:r w:rsidRPr="00AB4308">
        <w:t xml:space="preserve"> of America shares a common understanding of the Mexican identity based on nationality history and the country's bedrock role.</w:t>
      </w:r>
    </w:p>
    <w:p w14:paraId="424C1BA4" w14:textId="77777777" w:rsidR="007F4071" w:rsidRPr="00AB4308" w:rsidRDefault="00245F45" w:rsidP="00AB4308">
      <w:pPr>
        <w:pStyle w:val="NormalWeb"/>
        <w:spacing w:before="0" w:beforeAutospacing="0" w:after="0" w:afterAutospacing="0" w:line="480" w:lineRule="auto"/>
        <w:ind w:firstLine="720"/>
      </w:pPr>
      <w:r w:rsidRPr="00AB4308">
        <w:t>In summary</w:t>
      </w:r>
      <w:r w:rsidR="007F4071" w:rsidRPr="00AB4308">
        <w:t xml:space="preserve"> the artwork significances the need to have unity</w:t>
      </w:r>
      <w:r w:rsidRPr="00AB4308">
        <w:t xml:space="preserve"> in Mexican and American societies</w:t>
      </w:r>
      <w:r w:rsidR="007F4071" w:rsidRPr="00AB4308">
        <w:t>. This has been shown by the need to have several national languages that most of the population can understand as portrayed by the paintings. The primary focus in the artwork is on the country's economy, elimination of the mural commission, and unity among the Americans. The artwork promotes the relationship between the public members who are deeply shaken by the great depression and the artists in the United States.</w:t>
      </w:r>
    </w:p>
    <w:p w14:paraId="7CCD2EA1" w14:textId="77777777" w:rsidR="001F3AA3" w:rsidRPr="00AB4308" w:rsidRDefault="001F3AA3" w:rsidP="00AB4308">
      <w:pPr>
        <w:spacing w:line="480" w:lineRule="auto"/>
        <w:ind w:firstLine="720"/>
        <w:rPr>
          <w:rStyle w:val="footnote"/>
          <w:rFonts w:ascii="Times New Roman" w:hAnsi="Times New Roman" w:cs="Times New Roman"/>
          <w:sz w:val="24"/>
          <w:szCs w:val="24"/>
        </w:rPr>
      </w:pPr>
    </w:p>
    <w:p w14:paraId="6682BE56" w14:textId="77777777" w:rsidR="004449F8" w:rsidRPr="00AB4308" w:rsidRDefault="004449F8" w:rsidP="00AB4308">
      <w:pPr>
        <w:spacing w:line="480" w:lineRule="auto"/>
        <w:rPr>
          <w:rFonts w:ascii="Times New Roman" w:hAnsi="Times New Roman" w:cs="Times New Roman"/>
          <w:sz w:val="24"/>
          <w:szCs w:val="24"/>
          <w:shd w:val="clear" w:color="auto" w:fill="FFFFFF"/>
        </w:rPr>
      </w:pPr>
    </w:p>
    <w:p w14:paraId="40CCE027" w14:textId="77777777" w:rsidR="00D83C74" w:rsidRPr="00AB4308" w:rsidRDefault="00D83C74" w:rsidP="00AB4308">
      <w:pPr>
        <w:spacing w:line="480" w:lineRule="auto"/>
        <w:rPr>
          <w:rFonts w:ascii="Times New Roman" w:hAnsi="Times New Roman" w:cs="Times New Roman"/>
          <w:sz w:val="24"/>
          <w:szCs w:val="24"/>
        </w:rPr>
      </w:pPr>
    </w:p>
    <w:p w14:paraId="0EC01C20" w14:textId="77777777" w:rsidR="00F92DA5" w:rsidRPr="00AB4308" w:rsidRDefault="00F92DA5" w:rsidP="00AB4308">
      <w:pPr>
        <w:spacing w:line="480" w:lineRule="auto"/>
        <w:rPr>
          <w:rFonts w:ascii="Times New Roman" w:hAnsi="Times New Roman" w:cs="Times New Roman"/>
          <w:sz w:val="24"/>
          <w:szCs w:val="24"/>
        </w:rPr>
      </w:pPr>
    </w:p>
    <w:p w14:paraId="7B03B6F0" w14:textId="77777777" w:rsidR="00F92DA5" w:rsidRPr="00AB4308" w:rsidRDefault="00F92DA5" w:rsidP="00AB4308">
      <w:pPr>
        <w:spacing w:line="480" w:lineRule="auto"/>
        <w:rPr>
          <w:rFonts w:ascii="Times New Roman" w:hAnsi="Times New Roman" w:cs="Times New Roman"/>
          <w:sz w:val="24"/>
          <w:szCs w:val="24"/>
        </w:rPr>
      </w:pPr>
    </w:p>
    <w:p w14:paraId="588E01AF" w14:textId="77777777" w:rsidR="003A2799" w:rsidRPr="00AB4308" w:rsidRDefault="003A2799" w:rsidP="00AB4308">
      <w:pPr>
        <w:spacing w:line="480" w:lineRule="auto"/>
        <w:jc w:val="center"/>
        <w:rPr>
          <w:rFonts w:ascii="Times New Roman" w:hAnsi="Times New Roman" w:cs="Times New Roman"/>
          <w:sz w:val="24"/>
          <w:szCs w:val="24"/>
        </w:rPr>
      </w:pPr>
      <w:r w:rsidRPr="00AB4308">
        <w:rPr>
          <w:rFonts w:ascii="Times New Roman" w:hAnsi="Times New Roman" w:cs="Times New Roman"/>
          <w:sz w:val="24"/>
          <w:szCs w:val="24"/>
        </w:rPr>
        <w:lastRenderedPageBreak/>
        <w:t>References</w:t>
      </w:r>
    </w:p>
    <w:p w14:paraId="5AE37103" w14:textId="77777777" w:rsidR="00F92DA5" w:rsidRPr="00AB4308" w:rsidRDefault="00F92DA5" w:rsidP="00AB4308">
      <w:pPr>
        <w:spacing w:line="480" w:lineRule="auto"/>
        <w:ind w:left="720" w:hanging="720"/>
        <w:rPr>
          <w:rFonts w:ascii="Times New Roman" w:hAnsi="Times New Roman" w:cs="Times New Roman"/>
          <w:sz w:val="24"/>
          <w:szCs w:val="24"/>
        </w:rPr>
      </w:pPr>
      <w:r w:rsidRPr="00AB4308">
        <w:rPr>
          <w:rFonts w:ascii="Times New Roman" w:hAnsi="Times New Roman" w:cs="Times New Roman"/>
          <w:sz w:val="24"/>
          <w:szCs w:val="24"/>
          <w:shd w:val="clear" w:color="auto" w:fill="FFFFFF"/>
        </w:rPr>
        <w:t>Adams, H. (2019). The Revision of Grant Wood. </w:t>
      </w:r>
      <w:r w:rsidRPr="00AB4308">
        <w:rPr>
          <w:rFonts w:ascii="Times New Roman" w:hAnsi="Times New Roman" w:cs="Times New Roman"/>
          <w:i/>
          <w:iCs/>
          <w:sz w:val="24"/>
          <w:szCs w:val="24"/>
          <w:shd w:val="clear" w:color="auto" w:fill="FFFFFF"/>
        </w:rPr>
        <w:t>Modernism/modernity</w:t>
      </w:r>
      <w:r w:rsidRPr="00AB4308">
        <w:rPr>
          <w:rFonts w:ascii="Times New Roman" w:hAnsi="Times New Roman" w:cs="Times New Roman"/>
          <w:sz w:val="24"/>
          <w:szCs w:val="24"/>
          <w:shd w:val="clear" w:color="auto" w:fill="FFFFFF"/>
        </w:rPr>
        <w:t>, </w:t>
      </w:r>
      <w:r w:rsidRPr="00AB4308">
        <w:rPr>
          <w:rFonts w:ascii="Times New Roman" w:hAnsi="Times New Roman" w:cs="Times New Roman"/>
          <w:i/>
          <w:iCs/>
          <w:sz w:val="24"/>
          <w:szCs w:val="24"/>
          <w:shd w:val="clear" w:color="auto" w:fill="FFFFFF"/>
        </w:rPr>
        <w:t>26</w:t>
      </w:r>
      <w:r w:rsidRPr="00AB4308">
        <w:rPr>
          <w:rFonts w:ascii="Times New Roman" w:hAnsi="Times New Roman" w:cs="Times New Roman"/>
          <w:sz w:val="24"/>
          <w:szCs w:val="24"/>
          <w:shd w:val="clear" w:color="auto" w:fill="FFFFFF"/>
        </w:rPr>
        <w:t>(2), 431-434.</w:t>
      </w:r>
    </w:p>
    <w:p w14:paraId="62736325" w14:textId="77777777" w:rsidR="00F92DA5" w:rsidRPr="00AB4308" w:rsidRDefault="00F92DA5" w:rsidP="00AB4308">
      <w:pPr>
        <w:spacing w:line="480" w:lineRule="auto"/>
        <w:ind w:left="720" w:hanging="720"/>
        <w:rPr>
          <w:rFonts w:ascii="Times New Roman" w:hAnsi="Times New Roman" w:cs="Times New Roman"/>
          <w:sz w:val="24"/>
          <w:szCs w:val="24"/>
          <w:shd w:val="clear" w:color="auto" w:fill="FFFFFF"/>
        </w:rPr>
      </w:pPr>
      <w:r w:rsidRPr="00AB4308">
        <w:rPr>
          <w:rFonts w:ascii="Times New Roman" w:hAnsi="Times New Roman" w:cs="Times New Roman"/>
          <w:sz w:val="24"/>
          <w:szCs w:val="24"/>
          <w:shd w:val="clear" w:color="auto" w:fill="FFFFFF"/>
        </w:rPr>
        <w:t>Haskell, B., &amp; Castro, M. A. (2020). </w:t>
      </w:r>
      <w:r w:rsidRPr="00AB4308">
        <w:rPr>
          <w:rFonts w:ascii="Times New Roman" w:hAnsi="Times New Roman" w:cs="Times New Roman"/>
          <w:i/>
          <w:iCs/>
          <w:sz w:val="24"/>
          <w:szCs w:val="24"/>
          <w:shd w:val="clear" w:color="auto" w:fill="FFFFFF"/>
        </w:rPr>
        <w:t>Vida Americana-Mexican Muralists Remake American Art, 1925-1945</w:t>
      </w:r>
      <w:r w:rsidRPr="00AB4308">
        <w:rPr>
          <w:rFonts w:ascii="Times New Roman" w:hAnsi="Times New Roman" w:cs="Times New Roman"/>
          <w:sz w:val="24"/>
          <w:szCs w:val="24"/>
          <w:shd w:val="clear" w:color="auto" w:fill="FFFFFF"/>
        </w:rPr>
        <w:t>. Yale University Press.</w:t>
      </w:r>
    </w:p>
    <w:p w14:paraId="7FAF6139" w14:textId="77777777" w:rsidR="00F92DA5" w:rsidRPr="00AB4308" w:rsidRDefault="00F92DA5" w:rsidP="00AB4308">
      <w:pPr>
        <w:spacing w:line="480" w:lineRule="auto"/>
        <w:ind w:left="720" w:hanging="720"/>
        <w:rPr>
          <w:rFonts w:ascii="Times New Roman" w:hAnsi="Times New Roman" w:cs="Times New Roman"/>
          <w:sz w:val="24"/>
          <w:szCs w:val="24"/>
        </w:rPr>
      </w:pPr>
      <w:r w:rsidRPr="00AB4308">
        <w:rPr>
          <w:rFonts w:ascii="Times New Roman" w:hAnsi="Times New Roman" w:cs="Times New Roman"/>
          <w:sz w:val="24"/>
          <w:szCs w:val="24"/>
        </w:rPr>
        <w:t>https://whitney.org/essays/america-mexican-muralism</w:t>
      </w:r>
    </w:p>
    <w:sectPr w:rsidR="00F92DA5" w:rsidRPr="00AB4308" w:rsidSect="003073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668059" w14:textId="77777777" w:rsidR="007E1887" w:rsidRDefault="007E1887" w:rsidP="001F3AA3">
      <w:pPr>
        <w:spacing w:after="0" w:line="240" w:lineRule="auto"/>
      </w:pPr>
      <w:r>
        <w:separator/>
      </w:r>
    </w:p>
  </w:endnote>
  <w:endnote w:type="continuationSeparator" w:id="0">
    <w:p w14:paraId="11FB1150" w14:textId="77777777" w:rsidR="007E1887" w:rsidRDefault="007E1887" w:rsidP="001F3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BB1BF7" w14:textId="77777777" w:rsidR="007E1887" w:rsidRDefault="007E1887" w:rsidP="001F3AA3">
      <w:pPr>
        <w:spacing w:after="0" w:line="240" w:lineRule="auto"/>
      </w:pPr>
      <w:r>
        <w:separator/>
      </w:r>
    </w:p>
  </w:footnote>
  <w:footnote w:type="continuationSeparator" w:id="0">
    <w:p w14:paraId="001BA0BF" w14:textId="77777777" w:rsidR="007E1887" w:rsidRDefault="007E1887" w:rsidP="001F3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50064352"/>
      <w:docPartObj>
        <w:docPartGallery w:val="Page Numbers (Top of Page)"/>
        <w:docPartUnique/>
      </w:docPartObj>
    </w:sdtPr>
    <w:sdtEndPr>
      <w:rPr>
        <w:noProof/>
      </w:rPr>
    </w:sdtEndPr>
    <w:sdtContent>
      <w:p w14:paraId="194BDB49" w14:textId="1F86648F" w:rsidR="001F3AA3" w:rsidRPr="001F3AA3" w:rsidRDefault="003073A5" w:rsidP="003073A5">
        <w:pPr>
          <w:spacing w:line="480" w:lineRule="auto"/>
          <w:rPr>
            <w:rFonts w:ascii="Times New Roman" w:hAnsi="Times New Roman" w:cs="Times New Roman"/>
            <w:sz w:val="24"/>
            <w:szCs w:val="24"/>
            <w:shd w:val="clear" w:color="auto" w:fill="FFFFFF"/>
          </w:rPr>
        </w:pPr>
        <w:r w:rsidRPr="001F3AA3">
          <w:rPr>
            <w:rFonts w:ascii="Times New Roman" w:hAnsi="Times New Roman" w:cs="Times New Roman"/>
            <w:sz w:val="24"/>
            <w:szCs w:val="24"/>
            <w:shd w:val="clear" w:color="auto" w:fill="FFFFFF"/>
          </w:rPr>
          <w:t xml:space="preserve">ART REVIEW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001F3AA3" w:rsidRPr="001F3AA3">
          <w:rPr>
            <w:rFonts w:ascii="Times New Roman" w:hAnsi="Times New Roman" w:cs="Times New Roman"/>
            <w:sz w:val="24"/>
            <w:szCs w:val="24"/>
          </w:rPr>
          <w:fldChar w:fldCharType="begin"/>
        </w:r>
        <w:r w:rsidR="001F3AA3" w:rsidRPr="001F3AA3">
          <w:rPr>
            <w:rFonts w:ascii="Times New Roman" w:hAnsi="Times New Roman" w:cs="Times New Roman"/>
            <w:sz w:val="24"/>
            <w:szCs w:val="24"/>
          </w:rPr>
          <w:instrText xml:space="preserve"> PAGE   \* MERGEFORMAT </w:instrText>
        </w:r>
        <w:r w:rsidR="001F3AA3" w:rsidRPr="001F3AA3">
          <w:rPr>
            <w:rFonts w:ascii="Times New Roman" w:hAnsi="Times New Roman" w:cs="Times New Roman"/>
            <w:sz w:val="24"/>
            <w:szCs w:val="24"/>
          </w:rPr>
          <w:fldChar w:fldCharType="separate"/>
        </w:r>
        <w:r>
          <w:rPr>
            <w:rFonts w:ascii="Times New Roman" w:hAnsi="Times New Roman" w:cs="Times New Roman"/>
            <w:noProof/>
            <w:sz w:val="24"/>
            <w:szCs w:val="24"/>
          </w:rPr>
          <w:t>4</w:t>
        </w:r>
        <w:r w:rsidR="001F3AA3" w:rsidRPr="001F3AA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28262722"/>
      <w:docPartObj>
        <w:docPartGallery w:val="Page Numbers (Top of Page)"/>
        <w:docPartUnique/>
      </w:docPartObj>
    </w:sdtPr>
    <w:sdtEndPr>
      <w:rPr>
        <w:noProof/>
      </w:rPr>
    </w:sdtEndPr>
    <w:sdtContent>
      <w:p w14:paraId="0C5EE61B" w14:textId="389593D5" w:rsidR="003073A5" w:rsidRPr="001F3AA3" w:rsidRDefault="003073A5" w:rsidP="003073A5">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rPr>
          <w:t xml:space="preserve">Running Head: </w:t>
        </w:r>
        <w:r w:rsidRPr="001F3AA3">
          <w:rPr>
            <w:rFonts w:ascii="Times New Roman" w:hAnsi="Times New Roman" w:cs="Times New Roman"/>
            <w:sz w:val="24"/>
            <w:szCs w:val="24"/>
            <w:shd w:val="clear" w:color="auto" w:fill="FFFFFF"/>
          </w:rPr>
          <w:t xml:space="preserve">ART REVIEW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Pr="001F3AA3">
          <w:rPr>
            <w:rFonts w:ascii="Times New Roman" w:hAnsi="Times New Roman" w:cs="Times New Roman"/>
            <w:sz w:val="24"/>
            <w:szCs w:val="24"/>
          </w:rPr>
          <w:fldChar w:fldCharType="begin"/>
        </w:r>
        <w:r w:rsidRPr="001F3AA3">
          <w:rPr>
            <w:rFonts w:ascii="Times New Roman" w:hAnsi="Times New Roman" w:cs="Times New Roman"/>
            <w:sz w:val="24"/>
            <w:szCs w:val="24"/>
          </w:rPr>
          <w:instrText xml:space="preserve"> PAGE   \* MERGEFORMAT </w:instrText>
        </w:r>
        <w:r w:rsidRPr="001F3AA3">
          <w:rPr>
            <w:rFonts w:ascii="Times New Roman" w:hAnsi="Times New Roman" w:cs="Times New Roman"/>
            <w:sz w:val="24"/>
            <w:szCs w:val="24"/>
          </w:rPr>
          <w:fldChar w:fldCharType="separate"/>
        </w:r>
        <w:r>
          <w:rPr>
            <w:rFonts w:ascii="Times New Roman" w:hAnsi="Times New Roman" w:cs="Times New Roman"/>
            <w:sz w:val="24"/>
            <w:szCs w:val="24"/>
          </w:rPr>
          <w:t>1</w:t>
        </w:r>
        <w:r w:rsidRPr="001F3AA3">
          <w:rPr>
            <w:rFonts w:ascii="Times New Roman" w:hAnsi="Times New Roman" w:cs="Times New Roman"/>
            <w:noProof/>
            <w:sz w:val="24"/>
            <w:szCs w:val="24"/>
          </w:rPr>
          <w:fldChar w:fldCharType="end"/>
        </w:r>
      </w:p>
    </w:sdtContent>
  </w:sdt>
  <w:p w14:paraId="40679183" w14:textId="77777777" w:rsidR="003073A5" w:rsidRDefault="003073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799"/>
    <w:rsid w:val="000566AD"/>
    <w:rsid w:val="000E5731"/>
    <w:rsid w:val="00105076"/>
    <w:rsid w:val="001F2C87"/>
    <w:rsid w:val="001F3AA3"/>
    <w:rsid w:val="002166A8"/>
    <w:rsid w:val="00245F45"/>
    <w:rsid w:val="002B029C"/>
    <w:rsid w:val="002B0F93"/>
    <w:rsid w:val="003073A5"/>
    <w:rsid w:val="003A2799"/>
    <w:rsid w:val="003A7BA3"/>
    <w:rsid w:val="004449F8"/>
    <w:rsid w:val="00593E39"/>
    <w:rsid w:val="00602CBF"/>
    <w:rsid w:val="006B4559"/>
    <w:rsid w:val="00710A8C"/>
    <w:rsid w:val="0071130D"/>
    <w:rsid w:val="007953C1"/>
    <w:rsid w:val="007C6FC8"/>
    <w:rsid w:val="007E1887"/>
    <w:rsid w:val="007F4071"/>
    <w:rsid w:val="00A025D8"/>
    <w:rsid w:val="00A44610"/>
    <w:rsid w:val="00AB4308"/>
    <w:rsid w:val="00BD75CB"/>
    <w:rsid w:val="00D809B7"/>
    <w:rsid w:val="00D83C74"/>
    <w:rsid w:val="00E2347A"/>
    <w:rsid w:val="00EA390A"/>
    <w:rsid w:val="00F4496B"/>
    <w:rsid w:val="00F92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A0D67"/>
  <w15:docId w15:val="{6F969AD9-3409-4854-983D-75DC5FEDD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2799"/>
    <w:rPr>
      <w:color w:val="0000FF"/>
      <w:u w:val="single"/>
    </w:rPr>
  </w:style>
  <w:style w:type="character" w:customStyle="1" w:styleId="footnote">
    <w:name w:val="footnote"/>
    <w:basedOn w:val="DefaultParagraphFont"/>
    <w:rsid w:val="001F3AA3"/>
  </w:style>
  <w:style w:type="paragraph" w:styleId="Header">
    <w:name w:val="header"/>
    <w:basedOn w:val="Normal"/>
    <w:link w:val="HeaderChar"/>
    <w:uiPriority w:val="99"/>
    <w:unhideWhenUsed/>
    <w:rsid w:val="001F3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AA3"/>
  </w:style>
  <w:style w:type="paragraph" w:styleId="Footer">
    <w:name w:val="footer"/>
    <w:basedOn w:val="Normal"/>
    <w:link w:val="FooterChar"/>
    <w:uiPriority w:val="99"/>
    <w:unhideWhenUsed/>
    <w:rsid w:val="001F3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AA3"/>
  </w:style>
  <w:style w:type="paragraph" w:styleId="NormalWeb">
    <w:name w:val="Normal (Web)"/>
    <w:basedOn w:val="Normal"/>
    <w:uiPriority w:val="99"/>
    <w:semiHidden/>
    <w:unhideWhenUsed/>
    <w:rsid w:val="007F407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42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hitney.org/exhibitions/vida-americana?section=1&amp;subsection=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579</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cityzen</dc:creator>
  <cp:lastModifiedBy>john matheka</cp:lastModifiedBy>
  <cp:revision>7</cp:revision>
  <dcterms:created xsi:type="dcterms:W3CDTF">2021-02-03T12:56:00Z</dcterms:created>
  <dcterms:modified xsi:type="dcterms:W3CDTF">2021-02-04T06:10:00Z</dcterms:modified>
</cp:coreProperties>
</file>